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 xml:space="preserve">ЧРЕЗВЫЧАЙНЫМ СИТУАЦИЯМ И ЛИКВИДАЦИИ ПОСЛЕДСТВИЙ 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31.12.2024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367-20-3-2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01.01.2025 г.</w:t>
      </w:r>
    </w:p>
    <w:p>
      <w:pPr>
        <w:pStyle w:val="Normal"/>
        <w:jc w:val="center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hanging="0" w:left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прогнозируется.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1.1. Метеорологическая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20"/>
          <w:szCs w:val="2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5"/>
        <w:ind w:firstLine="56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1.4. Гидрологическая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реке Обь, сохраняется участок открытой воды от Новосибирской ГЭС протяжённостью 11 км.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Функционирование ГЭС</w:t>
      </w:r>
    </w:p>
    <w:p>
      <w:pPr>
        <w:pStyle w:val="Normal"/>
        <w:ind w:firstLine="567"/>
        <w:jc w:val="both"/>
        <w:rPr>
          <w:color w:val="auto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Новосибирская ГЭС работает в штатном режиме. Средний уровень воды в Новосибирском водохранилище составил 112,74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мБС (Балтийской системы измерений), сброс 790 м³/с, приток 810 м³/с. Уровень воды в реке Обь в районе г. Новосибирска находится на отметке 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см.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1.5. Геомагнитная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1.6. Сейсмическая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1.8. Эпизоотическая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Д. Богословка Усть-Таркского сельсовета Усть-Таркского района с 16.12.2024г.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территории Усть-Таркского сельского совета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color w:val="auto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1.9. Пожарная обстановка.</w:t>
      </w:r>
    </w:p>
    <w:p>
      <w:pPr>
        <w:pStyle w:val="Normal"/>
        <w:ind w:firstLine="567"/>
        <w:jc w:val="both"/>
        <w:rPr>
          <w:color w:val="FF4000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За прошедшие сутки на территории области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 xml:space="preserve">зарегистрировано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>9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 xml:space="preserve"> техногенных пожаров (г. Новосибирск: Ленинский,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>Дзержинский, Заельцовский, Октябрьский районы, Черепановский район г.Черепаново, Искитимский район г.Искитим, Новосибирский район п.Элитный, Куйбышевский район г.Куйбышев, Карасукский район с.Хорошее),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 xml:space="preserve"> из них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>7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 xml:space="preserve"> в жилом секторе, в результате которых погиб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>ших 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bidi="ar-SA"/>
        </w:rPr>
        <w:t xml:space="preserve"> травмированных нет. 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color w:val="FF4000"/>
          <w:sz w:val="28"/>
          <w:szCs w:val="28"/>
          <w:shd w:fill="auto" w:val="clear"/>
        </w:rPr>
        <w:t>П</w:t>
      </w:r>
      <w:r>
        <w:rPr>
          <w:rFonts w:cs="Times New Roman" w:ascii="Times New Roman" w:hAnsi="Times New Roman"/>
          <w:b w:val="false"/>
          <w:bCs w:val="false"/>
          <w:color w:val="000000"/>
          <w:sz w:val="26"/>
          <w:szCs w:val="26"/>
          <w:shd w:fill="auto" w:val="clear"/>
        </w:rPr>
        <w:t>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/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auto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1.12. Обстановка на водных объектах.</w:t>
      </w:r>
    </w:p>
    <w:p>
      <w:pPr>
        <w:pStyle w:val="Normal"/>
        <w:ind w:firstLine="567"/>
        <w:jc w:val="both"/>
        <w:rPr>
          <w:color w:val="auto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shd w:fill="auto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30 декабря в Ордынском районе принята в эксплуатацию одна ледовая переправа между населенными пу</w:t>
      </w: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нктами Ордынское и Нижнекаменка (грузоподъёмность 5 т.). Движение по ледовой переправе осуществляется в две полосы.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shd w:fill="auto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Протяженность ледовой переправы составляет 4,3 км, ширина полос 15 м. Толщина льда на ледовой переправе 50 см. Время работы с 09:00 до 18:00.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shd w:fill="auto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Безопасность на ледовой переправе обеспечивается двумя спасательными постами подрядной организацией ООО «Алмаз-профи». Задействовано 5 человек и 3 ед. техники.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shd w:fill="auto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1.13. Обстановка на дорогах.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На дорогах области за прошедшие сутки зарегистрировано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5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ДТП, в результате которых 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7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человек травмировано, погибших нет.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Автомобильные дороги в проезжем состоянии.</w:t>
      </w:r>
      <w:bookmarkStart w:id="0" w:name="_Hlk133589652"/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>
      <w:pPr>
        <w:pStyle w:val="Normal"/>
        <w:ind w:firstLine="567"/>
        <w:jc w:val="both"/>
        <w:rPr>
          <w:color w:val="auto"/>
        </w:rPr>
      </w:pP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еременная облачность, местами небольшой снег.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Местами туманы, изморозь. На дорогах местами гололедица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color w:val="auto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Ветер юго-западный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7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м/с, местами порывы до 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м/с.</w:t>
      </w:r>
    </w:p>
    <w:p>
      <w:pPr>
        <w:pStyle w:val="Normal"/>
        <w:ind w:firstLine="567"/>
        <w:jc w:val="both"/>
        <w:rPr>
          <w:color w:val="auto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воздуха: ночью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0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5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°С, местами до -2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0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°С, днём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7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auto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color w:val="auto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color w:val="000000"/>
          <w:highlight w:val="none"/>
          <w:shd w:fill="FFFF00" w:val="clear"/>
        </w:rPr>
      </w:pPr>
      <w:r>
        <w:rPr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Сброс воды из Новосибирского водохранилища составит 750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/с, при этом уровень воды по гидропосту на р. Обь г. Новосибирск ожидается в районе 40</w:t>
      </w:r>
      <w:bookmarkStart w:id="7" w:name="_GoBack"/>
      <w:bookmarkEnd w:id="7"/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± 10 см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color w:val="auto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Магнитное поле Земли ожидается слабо возмущенное с отдельными умеренно возмущенными периодами. Ухудшение условий КВ-радиосвязи возможно в отдельные часы суток. Общее содержание озона в озоновом слое выше нормы.</w:t>
      </w:r>
    </w:p>
    <w:p>
      <w:pPr>
        <w:pStyle w:val="Normal"/>
        <w:ind w:firstLine="567"/>
        <w:rPr>
          <w:color w:val="000000"/>
          <w:highlight w:val="none"/>
          <w:shd w:fill="auto" w:val="clear"/>
        </w:rPr>
      </w:pPr>
      <w:r>
        <w:rPr>
          <w:color w:val="000000"/>
          <w:shd w:fill="auto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2.5. Прогноз сейсмической обстановки.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2.8. Прогноз пожарной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нарушением правил монтажа и эксплуатации электрооборудования и электропроводки.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</w:rPr>
        <w:t>Сохраняется высоким риск возникновения пожаров в жилом секторе, связанных с несоблюдением мер пожарной безопасности при использовании электрических гирлянд и пиротехнических изделий, особенно не сертифицированных, а также оставлением детей без надлежащего присмотра.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color w:val="000000"/>
          <w:sz w:val="28"/>
          <w:szCs w:val="28"/>
          <w:shd w:fill="auto" w:val="clear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ind w:firstLine="567"/>
        <w:jc w:val="both"/>
        <w:rPr>
          <w:color w:val="000000"/>
          <w:highlight w:val="none"/>
          <w:shd w:fill="FFFF00" w:val="clear"/>
        </w:rPr>
      </w:pPr>
      <w:r>
        <w:rPr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auto" w:val="clear"/>
          <w:lang w:eastAsia="ru-RU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color w:val="000000"/>
          <w:highlight w:val="none"/>
          <w:shd w:fill="FFFF00" w:val="clear"/>
        </w:rPr>
      </w:pPr>
      <w:r>
        <w:rPr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color w:val="000000"/>
          <w:highlight w:val="none"/>
          <w:shd w:fill="FFFF00" w:val="clear"/>
        </w:rPr>
      </w:pPr>
      <w:r>
        <w:rPr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9" w:name="_Hlk12295763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0"/>
          <w:szCs w:val="2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Туманы и г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ололедица на дорогах буд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у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т способствовать осложнению дорожной обстановки и увелич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bCs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color w:val="000000"/>
          <w:highlight w:val="none"/>
          <w:shd w:fill="auto" w:val="clear"/>
        </w:rPr>
      </w:pPr>
      <w:bookmarkStart w:id="10" w:name="_Hlk136875242"/>
      <w:bookmarkStart w:id="11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3.1.2. Продолжить поддержание системы оповещения в исправном состоянии;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3.1.6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3.1.7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0"/>
          <w:szCs w:val="20"/>
          <w:shd w:fill="auto" w:val="clear"/>
        </w:rPr>
      </w:r>
    </w:p>
    <w:p>
      <w:pPr>
        <w:pStyle w:val="Normal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3.2.1 Главам муниципальных районов,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года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3.2.2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3.2.3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НСО (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).</w:t>
      </w:r>
    </w:p>
    <w:p>
      <w:pPr>
        <w:pStyle w:val="Normal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3.2.4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тонкий неокрепший лед водных объектов.</w:t>
      </w:r>
    </w:p>
    <w:p>
      <w:pPr>
        <w:pStyle w:val="Normal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3.2.5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3.2.6. Провести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информирование населения об обстановке на водных объектах и вопросам безопасности на водных объектах, в том числе недопустимости оставления у водных объектов детей без присмотра взрослых.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3.2.7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color w:val="000000"/>
          <w:highlight w:val="none"/>
          <w:shd w:fill="auto" w:val="clear"/>
        </w:rPr>
      </w:pPr>
      <w:r>
        <w:rPr>
          <w:color w:val="000000"/>
          <w:shd w:fill="auto" w:val="clear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3.3. По риску возникновения техногенных пожаров.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color w:val="000000"/>
          <w:highlight w:val="none"/>
          <w:shd w:fill="auto" w:val="clear"/>
        </w:rPr>
      </w:pP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>3.3.1. Проводить противопожарную пропаганду по вопросу доведения до населения основных мер пожарной безопасности при использовании электрических гирлянд, пиротехнических изделий.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3.3.2. Обеспечить пожарную безопасность в школах, детских садах, клубах и др, совместно с органами внутренних дел провести работу по исключению случаев использования пиротехнических изделий внутри помещений и вблизи зданий.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eastAsia="Arial" w:cs="Times New Roman" w:ascii="Times New Roman" w:hAnsi="Times New Roman"/>
          <w:color w:val="000000"/>
          <w:sz w:val="28"/>
          <w:szCs w:val="28"/>
          <w:shd w:fill="auto" w:val="clear"/>
        </w:rPr>
        <w:t xml:space="preserve">3.3.3. 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>Продолжить проведение уроков безопасности в школах и детских дошкольных учреждениях о мерах пожарной безопасности, особенно в местах массового скопления людей.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3.3.4. Провести комплексные внеплановые подворовые обходы по местам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проживания социально-незащищенной категории граждан, многодетных семей. 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  <w:shd w:fill="auto" w:val="clear"/>
        </w:rPr>
        <w:t>Довести информацию об основных требованиях пожарной безопасности, о возможности и порядке получения мер социальной поддержки на приведение жилых помещений в пожаробезопасное состояние (ремонт печного оборудования, электропроводки и пр.), а также об эффективности применения АДПИ.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3.3.5. Осуществить проверку мест установки АДПИ с GSM, их работоспособности путем фактического запуска с последующим контролем прохождения сигнала в ЕДДС района, и составлением соответствующего акта проверки (при наличии технической возможности добавить фото-, видеофиксацию).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3.3.6. Обеспечить работу по наращиванию размещаемых информационных материалов на противопожарную тематику на официальных сайтах, а также принятии мер к массовому регулярному использованию аудио трансляторов, широкоформатных экранов, электронных табло и мониторов. При подборе материалов для публикации в социальных сетях (вконтакте, телеграмм) особое внимание уделить информационно-новостным сводкам и статьям, разъясняющим правила эксплуатации бытовых электронагревательных приборов, тепло генерирующих устройств, отопительных печей.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3.3.7. Разместить в общественных местах, зданиях (помещениях) организаций, в сети интернет, информацию, способствующую обеспечению безопасности граждан воспитывающих несовершеннолетних детей.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color w:val="000000"/>
          <w:shd w:fill="auto" w:val="clear"/>
        </w:rPr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shd w:fill="auto" w:val="clear"/>
        </w:rPr>
        <w:t>3.4. По риску возникновения аварий на ТЭК и ЖКХ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3.4.1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3.4.2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3.4.3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color w:val="000000"/>
          <w:highlight w:val="none"/>
          <w:shd w:fill="auto" w:val="clear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(старший оперативный дежурный)</w:t>
      </w:r>
    </w:p>
    <w:p>
      <w:pPr>
        <w:pStyle w:val="Normal"/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ЦУКС ГУ МЧС России по Новосибирской обл</w:t>
      </w:r>
      <w:r>
        <w:drawing>
          <wp:anchor behindDoc="1" distT="0" distB="0" distL="114935" distR="114935" simplePos="0" locked="0" layoutInCell="1" allowOverlap="1" relativeHeight="2">
            <wp:simplePos x="0" y="0"/>
            <wp:positionH relativeFrom="column">
              <wp:posOffset>3545205</wp:posOffset>
            </wp:positionH>
            <wp:positionV relativeFrom="paragraph">
              <wp:posOffset>164465</wp:posOffset>
            </wp:positionV>
            <wp:extent cx="788670" cy="674370"/>
            <wp:effectExtent l="0" t="0" r="0" b="0"/>
            <wp:wrapNone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7" t="-30" r="-27" b="-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" cy="674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полковник вн. службы                                     </w:t>
      </w:r>
      <w:r>
        <w:rPr>
          <w:color w:val="000000"/>
          <w:shd w:fill="auto" w:val="clear"/>
          <w:lang w:eastAsia="ru-RU"/>
        </w:rPr>
        <w:t xml:space="preserve">      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                    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А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.Н. Савицкий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 xml:space="preserve">исп. </w:t>
      </w:r>
      <w:r>
        <w:rPr>
          <w:rFonts w:cs="Times New Roman" w:ascii="Times New Roman" w:hAnsi="Times New Roman"/>
          <w:color w:val="000000"/>
          <w:sz w:val="16"/>
          <w:szCs w:val="16"/>
        </w:rPr>
        <w:t>Чекрыжова С.Е.</w:t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1418"/>
      <w:pgNumType w:fmt="decimal"/>
      <w:formProt w:val="false"/>
      <w:titlePg/>
      <w:textDirection w:val="lrTb"/>
      <w:docGrid w:type="default" w:linePitch="360" w:charSpace="2375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">
    <w:charset w:val="cc"/>
    <w:family w:val="auto"/>
    <w:pitch w:val="default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3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>
    <w:name w:val="Footnote Characters11"/>
    <w:qFormat/>
    <w:rPr>
      <w:vertAlign w:val="superscript"/>
    </w:rPr>
  </w:style>
  <w:style w:type="character" w:styleId="FootnoteCharacters111">
    <w:name w:val="Footnote Characters111"/>
    <w:qFormat/>
    <w:rPr>
      <w:vertAlign w:val="superscript"/>
    </w:rPr>
  </w:style>
  <w:style w:type="character" w:styleId="FootnoteCharacters1111">
    <w:name w:val="Footnote Characters1111"/>
    <w:qFormat/>
    <w:rPr>
      <w:vertAlign w:val="superscript"/>
    </w:rPr>
  </w:style>
  <w:style w:type="character" w:styleId="FootnoteCharacters11111">
    <w:name w:val="Footnote Characters11111"/>
    <w:qFormat/>
    <w:rPr>
      <w:vertAlign w:val="superscript"/>
    </w:rPr>
  </w:style>
  <w:style w:type="character" w:styleId="FootnoteCharacters111111">
    <w:name w:val="Footnote Characters111111"/>
    <w:qFormat/>
    <w:rPr>
      <w:vertAlign w:val="superscript"/>
    </w:rPr>
  </w:style>
  <w:style w:type="character" w:styleId="FootnoteCharacters1111111">
    <w:name w:val="Footnote Characters1111111"/>
    <w:qFormat/>
    <w:rPr>
      <w:vertAlign w:val="superscript"/>
    </w:rPr>
  </w:style>
  <w:style w:type="character" w:styleId="FootnoteCharacters11111111">
    <w:name w:val="Footnote Characters11111111"/>
    <w:qFormat/>
    <w:rPr>
      <w:vertAlign w:val="superscript"/>
    </w:rPr>
  </w:style>
  <w:style w:type="character" w:styleId="FootnoteCharacters111111111">
    <w:name w:val="Footnote Characters111111111"/>
    <w:qFormat/>
    <w:rPr>
      <w:vertAlign w:val="superscript"/>
    </w:rPr>
  </w:style>
  <w:style w:type="character" w:styleId="FootnoteCharacters111111111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>
    <w:name w:val="Endnote Characters11"/>
    <w:qFormat/>
    <w:rPr>
      <w:vertAlign w:val="superscript"/>
    </w:rPr>
  </w:style>
  <w:style w:type="character" w:styleId="EndnoteCharacters111">
    <w:name w:val="Endnote Characters111"/>
    <w:qFormat/>
    <w:rPr>
      <w:vertAlign w:val="superscript"/>
    </w:rPr>
  </w:style>
  <w:style w:type="character" w:styleId="EndnoteCharacters1111">
    <w:name w:val="Endnote Characters1111"/>
    <w:qFormat/>
    <w:rPr>
      <w:vertAlign w:val="superscript"/>
    </w:rPr>
  </w:style>
  <w:style w:type="character" w:styleId="EndnoteCharacters11111">
    <w:name w:val="Endnote Characters11111"/>
    <w:qFormat/>
    <w:rPr>
      <w:vertAlign w:val="superscript"/>
    </w:rPr>
  </w:style>
  <w:style w:type="character" w:styleId="EndnoteCharacters111111">
    <w:name w:val="Endnote Characters111111"/>
    <w:qFormat/>
    <w:rPr>
      <w:vertAlign w:val="superscript"/>
    </w:rPr>
  </w:style>
  <w:style w:type="character" w:styleId="EndnoteCharacters1111111">
    <w:name w:val="Endnote Characters1111111"/>
    <w:qFormat/>
    <w:rPr>
      <w:vertAlign w:val="superscript"/>
    </w:rPr>
  </w:style>
  <w:style w:type="character" w:styleId="EndnoteCharacters11111111">
    <w:name w:val="Endnote Characters11111111"/>
    <w:qFormat/>
    <w:rPr>
      <w:vertAlign w:val="superscript"/>
    </w:rPr>
  </w:style>
  <w:style w:type="character" w:styleId="EndnoteCharacters111111111">
    <w:name w:val="Endnote Characters111111111"/>
    <w:qFormat/>
    <w:rPr>
      <w:vertAlign w:val="superscript"/>
    </w:rPr>
  </w:style>
  <w:style w:type="character" w:styleId="EndnoteCharacters111111111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>
    <w:name w:val="Internet Link173"/>
    <w:qFormat/>
    <w:rPr>
      <w:color w:val="000080"/>
      <w:u w:val="single"/>
    </w:rPr>
  </w:style>
  <w:style w:type="character" w:styleId="InternetLink174">
    <w:name w:val="Internet Link174"/>
    <w:qFormat/>
    <w:rPr>
      <w:color w:val="000080"/>
      <w:u w:val="single"/>
    </w:rPr>
  </w:style>
  <w:style w:type="character" w:styleId="InternetLink175">
    <w:name w:val="Internet Link175"/>
    <w:qFormat/>
    <w:rPr>
      <w:color w:val="000080"/>
      <w:u w:val="single"/>
    </w:rPr>
  </w:style>
  <w:style w:type="character" w:styleId="InternetLink176">
    <w:name w:val="Internet Link176"/>
    <w:qFormat/>
    <w:rPr>
      <w:color w:val="000080"/>
      <w:u w:val="single"/>
    </w:rPr>
  </w:style>
  <w:style w:type="character" w:styleId="InternetLink177">
    <w:name w:val="Internet Link177"/>
    <w:qFormat/>
    <w:rPr>
      <w:color w:val="000080"/>
      <w:u w:val="single"/>
    </w:rPr>
  </w:style>
  <w:style w:type="character" w:styleId="InternetLink178">
    <w:name w:val="Internet Link178"/>
    <w:qFormat/>
    <w:rPr>
      <w:color w:val="000080"/>
      <w:u w:val="single"/>
    </w:rPr>
  </w:style>
  <w:style w:type="character" w:styleId="InternetLink179">
    <w:name w:val="Internet Link179"/>
    <w:qFormat/>
    <w:rPr>
      <w:color w:val="000080"/>
      <w:u w:val="single"/>
    </w:rPr>
  </w:style>
  <w:style w:type="character" w:styleId="Style17">
    <w:name w:val="Символ нумерации"/>
    <w:qFormat/>
    <w:rPr/>
  </w:style>
  <w:style w:type="character" w:styleId="InternetLink180">
    <w:name w:val="Internet Link180"/>
    <w:qFormat/>
    <w:rPr>
      <w:color w:val="000080"/>
      <w:u w:val="single"/>
    </w:rPr>
  </w:style>
  <w:style w:type="character" w:styleId="InternetLink181">
    <w:name w:val="Internet Link181"/>
    <w:qFormat/>
    <w:rPr>
      <w:color w:val="000080"/>
      <w:u w:val="single"/>
    </w:rPr>
  </w:style>
  <w:style w:type="character" w:styleId="InternetLink182">
    <w:name w:val="Internet Link182"/>
    <w:qFormat/>
    <w:rPr>
      <w:color w:val="000080"/>
      <w:u w:val="single"/>
    </w:rPr>
  </w:style>
  <w:style w:type="character" w:styleId="InternetLink183">
    <w:name w:val="Internet Link183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left="1984"/>
    </w:pPr>
    <w:rPr/>
  </w:style>
  <w:style w:type="paragraph" w:styleId="Style20" w:customStyle="1">
    <w:name w:val="Колонтитул"/>
    <w:basedOn w:val="Normal"/>
    <w:qFormat/>
    <w:pPr/>
    <w:rPr/>
  </w:style>
  <w:style w:type="paragraph" w:styleId="HeaderandFooter" w:customStyle="1">
    <w:name w:val="Header and Footer"/>
    <w:basedOn w:val="Normal"/>
    <w:qFormat/>
    <w:pPr/>
    <w:rPr/>
  </w:style>
  <w:style w:type="paragraph" w:styleId="Header">
    <w:name w:val="header"/>
    <w:basedOn w:val="Style20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2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3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2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3" w:customStyle="1">
    <w:name w:val="Заголовок таблицы"/>
    <w:basedOn w:val="Style22"/>
    <w:qFormat/>
    <w:rsid w:val="009c563d"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d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9655</TotalTime>
  <Application>LibreOffice/24.8.0.3$Windows_X86_64 LibreOffice_project/0bdf1299c94fe897b119f97f3c613e9dca6be583</Application>
  <AppVersion>15.0000</AppVersion>
  <Pages>15</Pages>
  <Words>2504</Words>
  <Characters>20812</Characters>
  <CharactersWithSpaces>22890</CharactersWithSpaces>
  <Paragraphs>495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2024-12-31T16:05:16Z</dcterms:modified>
  <cp:revision>1430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